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4EF" w:rsidRPr="00D15B0C" w:rsidRDefault="0070777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ПРИЛОЖЕНИЕ № 2</w:t>
      </w:r>
    </w:p>
    <w:p w:rsidR="00D164EF" w:rsidRPr="00D15B0C" w:rsidRDefault="0070777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к модели системы долговременного ухода за гражданами пожилого возраста и инвалидами, нуждающимися в уходе, в Новосибирской области в 2025 году</w:t>
      </w:r>
    </w:p>
    <w:p w:rsidR="00D164EF" w:rsidRPr="00D15B0C" w:rsidRDefault="00D164E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164EF" w:rsidRPr="00D15B0C" w:rsidRDefault="00D164E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164EF" w:rsidRPr="00D15B0C" w:rsidRDefault="00D164E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164EF" w:rsidRPr="00D15B0C" w:rsidRDefault="007077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0C">
        <w:rPr>
          <w:rFonts w:ascii="Times New Roman" w:hAnsi="Times New Roman" w:cs="Times New Roman"/>
          <w:b/>
          <w:sz w:val="28"/>
          <w:szCs w:val="28"/>
        </w:rPr>
        <w:t>Рекомендуемый алгоритм действий экспертов по оценке нуждаемости при определении индивидуальной потребности гражданина в социальном обслуживании, в том числе в социальных услугах по уходу</w:t>
      </w:r>
    </w:p>
    <w:p w:rsidR="00D164EF" w:rsidRPr="00D15B0C" w:rsidRDefault="00D16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4EF" w:rsidRPr="00D15B0C" w:rsidRDefault="00D16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1. Определение индивидуальной потребности гражданина в социальном обслуживании, в том числе в социальных услугах по уходу, – экспертная деятельность, состоящая из: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1) оценки (беседа, опрос, наблюдение, анализ документов) нужд и потребностей, обстоятельств и состояния гражданина (далее – оценка);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2) заключения о наличии или об отсутствии обстоятельств, которые ухудшают или могут ухудшить условия жизнедеятельности гражданина, в целях признания его нуждающимся в социальном обслуживании;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3) заключения о нуждаемости гражданина в социальном обслуживании, в том числе в социальных услугах по уходу, и форме социального обслуживания;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4) заключения об уровне нуждаемости гражданина в уходе, рекомендуемом объеме социального пакета долговременного ухода и условиях его предоставления;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5) подбора гражданину социальных услуг по уходу и иных социальных услуг;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6) формирования проектов индивидуальной программы предоставления социальных услуг (далее – индивидуальная программа) и дополнения к индивидуальной программе.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2. Определение индивидуальной потребности гражданина в социальном обслуживании, в том числе в социальных услугах по уходу, осуществляется двумя экспертами по оценке нуждаемости одновременно.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 xml:space="preserve">3. Эксперт по оценке нуждаемости – член территориального координационного центра, уполномоченный на определение индивидуальной потребности гражданина в социальном обслуживании, в том числе в социальных услугах по уходу, и формирование проектов индивидуальной программы и дополнения к индивидуальной программе, обладающий знаниями и навыками, </w:t>
      </w:r>
      <w:r w:rsidRPr="00D15B0C">
        <w:rPr>
          <w:rFonts w:ascii="Times New Roman" w:hAnsi="Times New Roman" w:cs="Times New Roman"/>
          <w:spacing w:val="-6"/>
          <w:sz w:val="28"/>
          <w:szCs w:val="28"/>
        </w:rPr>
        <w:t>необходимыми для исполнения должностных обязанностей, а также личными качествами, обеспечивающими способность выполнять возложенные на него задачи.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 xml:space="preserve">4. Анкета-опросник для определения индивидуальной потребности гражданина в социальном обслуживании, в том числе в социальных услугах по уходу (далее – анкета-опросник), – основной инструмент для проведения оценки (беседа, опрос, наблюдение, анализ документов) нужд и потребностей, </w:t>
      </w:r>
      <w:r w:rsidRPr="00D15B0C">
        <w:rPr>
          <w:rFonts w:ascii="Times New Roman" w:hAnsi="Times New Roman" w:cs="Times New Roman"/>
          <w:sz w:val="28"/>
          <w:szCs w:val="28"/>
        </w:rPr>
        <w:lastRenderedPageBreak/>
        <w:t>обстоятельств и состояния гражданина, включающий оценочную шкалу индивидуальной потребности в уходе и назначение социальных услуг по уходу и иных социальных услуг.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Форма анкеты-опросника предусмотрена приложением № 3 к модели системы долговременного ухода за гражданами пожилого возраста и инвалидами, нуждающимися в уходе, в Новосибирской области.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15B0C">
        <w:rPr>
          <w:rFonts w:ascii="Times New Roman" w:hAnsi="Times New Roman" w:cs="Times New Roman"/>
          <w:spacing w:val="-6"/>
          <w:sz w:val="28"/>
          <w:szCs w:val="28"/>
        </w:rPr>
        <w:t>5. Определение индивидуальной потребности гражданина в социальном обслуживании, в том числе в социальных услугах по уходу, осуществляется поэтапно: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1) подготовительный этап: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а) место проведения: территориальный координационный центр;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б) цель: обеспечить сбор сведений о гражданине – потенциальном получателе социальных услуг, его ограничениях, потребностях и нуждах, предварительное заполнение анкеты-опросника;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в) задачи: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распределение между экспертами по оценке нуждаемости обязанностей по сбору и обработке информации, взаимодействию с гражданином и его ближайшим окружением (родственники, соседи, друзья или иные лица, осуществляющие уход);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получение, обработка и анализ информации из ведомственных информационных систем и единой системы межведомственного электронного взаимодействия, подготовка и направление запросов, ведение телефонных переговоров в указанных целях;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получение, обработка и анализ информации от гражданина и его ближайшего окружения в ходе телефонных переговоров на основании их устного согласия, обмен контактными данными;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внесение полученной от гражданина и (или) его ближайшего окружения информации в анкету-опросник (разделы 1–3 бланка «Блок А», разделы 1–2 бланка «Блок Б», разделы 1–3 бланка «Блок В»), в том числе в электронном виде;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подготовка предварительных выводов о нуждах и потребностях, обстоятельствах и состоянии гражданина;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формирование заключения об отсутствии обстоятельств, которые ухудшают или могут ухудшить условия жизнедеятельности гражданина (в составе бланка «Блок А» анкеты-опросника);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разработка плана визита к гражданину (согласование даты, времени, условий и цели визита, состава участников), у которого выявлены обстоятельства, которые ухудшают или могут ухудшить условия его жизнедеятельности (в составе бланка «Блок А» анкеты-опросника);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техническая подготовка к визиту;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г) срок исполнения: не более двух рабочих дней со дня поступления первичной информации о потенциальном получателе социальных услуг;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15B0C">
        <w:rPr>
          <w:rFonts w:ascii="Times New Roman" w:hAnsi="Times New Roman" w:cs="Times New Roman"/>
          <w:spacing w:val="-6"/>
          <w:sz w:val="28"/>
          <w:szCs w:val="28"/>
        </w:rPr>
        <w:t xml:space="preserve">д) ожидаемый результат: сведения о гражданине – потенциальном получателе социальных услуг внесены в анкету-опросник, сделан предварительный вывод о его ограничениях, потребностях и нуждах, выявлено наличие или отсутствие у гражданина обстоятельств, которые ухудшают или могут ухудшить условия жизнедеятельности (в случае, если у гражданина отсутствуют обстоятельства, </w:t>
      </w:r>
      <w:r w:rsidRPr="00D15B0C">
        <w:rPr>
          <w:rFonts w:ascii="Times New Roman" w:hAnsi="Times New Roman" w:cs="Times New Roman"/>
          <w:spacing w:val="-6"/>
          <w:sz w:val="28"/>
          <w:szCs w:val="28"/>
        </w:rPr>
        <w:lastRenderedPageBreak/>
        <w:t>которые ухудшают или могут ухудшить условия жизнедеятельности, готовится проект решения об отказе в социальном обслуживании);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2) основной этап: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а) место проведения: место жительства или место пребывания гражданина;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б) цель: провести оценку индивидуальной потребности гражданина в социальном обслуживании, в том числе в социальных услугах по уходу, сделать вывод об ограничениях, потребностях и нуждах гражданина;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в) задачи: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знакомство экспертов по оценке нуждаемости с гражданином и его ближайшим окружением (из числа присутствующих), объяснение цели визита (продолжительность визита не может превышать 60 минут);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уведомление гражданина и его ближайшего окружения (из числа присутствующих) о наличии предварительных выводов о его нуждах и потребностях, сформированных на основании информации, полученной от гражданина и его ближайшего окружения;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принятие заявления гражданина (законного представителя) о предоставлении социального обслуживания, получение письменного согласия на обработку персональных данных, в том числе получаемых посредством проведения оценки;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установление доверительного контакта с гражданином и его ближайшим окружением (из числа присутствующих), распределение между экспертами по оценке нуждаемости обязанностей по организации и проведению оценки;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проведение оценки осуществляется посредством беседы, опроса, наблюдения, анализа документов гражданина в целях выявления его нужд и потребностей, обстоятельств и состояния с учетом мнения ближайшего окружения (из числа присутствующих);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актуализация (подтверждение, опровержение, корректировка) информации о гражданине, внесенной на предварительном этапе в анкету-опросник, заполнение бланков «Блок А», «Блок Б», «Блок В» анкеты-опросника;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формирование заключения о наличии обстоятельств, которые ухудшают или могут ухудшить условия жизнедеятельности гражданина в целях признания гражданина нуждающимся в социальном обслуживании, в том числе в социальных услугах по уходу (в составе бланка «Блок А» анкеты-опросника);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формирование заключения о нуждаемости гражданина в социальном обслуживании и форме социального обслуживания (в составе бланка «Блок Б» анкеты-опросника);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проведение оценки индивидуальной потребности гражданина в уходе, формирование заключения об уровне нуждаемости гражданина в уходе (в составе бланка «Блок В» анкеты-опросника);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формирование рекомендуемого гражданину перечня социальных услуг (в составе бланка «Блок Г» анкеты-опросника);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 xml:space="preserve">информирование гражданина и его ближайшего окружения (из числа присутствующих) о результатах визита, предварительных выводах об индивидуальной потребности в социальном обслуживании, в том числе в социальных услугах по уходу, рекомендуемой форме социального </w:t>
      </w:r>
      <w:r w:rsidRPr="00D15B0C">
        <w:rPr>
          <w:rFonts w:ascii="Times New Roman" w:hAnsi="Times New Roman" w:cs="Times New Roman"/>
          <w:sz w:val="28"/>
          <w:szCs w:val="28"/>
        </w:rPr>
        <w:lastRenderedPageBreak/>
        <w:t>обслуживания, условиях предоставления социальных услуг по уходу, включаемых в социальный пакет долговременного ухода, и иных социальных услуг, возможных поставщиках социальных услуг;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определение прав и обязанностей по обеспечению ухода за гражданином между помощником по уходу (работник поставщика социальных услуг) и иными лицами (представители ближайшего окружения);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согласование с гражданином (законным представителем) и его ближайшим окружением (из числа присутствующих) формы социального обслуживания, условий предоставления социальных услуг по уходу, включаемых в социальный пакет долговременного ухода, и иных социальных услуг;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завершение общения с гражданином и его ближайшим окружением (из числа присутствующих), объяснение дальнейших действий со стороны экспертов по оценке нуждаемости и поставщика социальных услуг и его работников, необходимых для организации социального обслуживания гражданина, в том числе ухода;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г) срок исполнения: не более трех рабочих дней со дня поступления первичной информации о потенциальном получателе социальных услуг;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д) ожидаемый результат: проведена оценка индивидуальной потребности гражданина в социальном обслуживании, в том числе в социальных услугах по уходу, сделан вывод об ограничениях, потребностях и нуждах гражданина на базе заполненной анкеты-опросника;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3) завершающий этап: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а) место проведения: территориальный координационный центр;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б) цели: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определить индивидуальную потребность гражданина в социальном обслуживании, в том числе в социальных услугах по уходу;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определить уровень нуждаемости гражданина в уходе;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сформировать проект решения о признании гражданина нуждающимся в социальном обслуживании, в том числе в социальных услугах по уходу, либо об отказе гражданину в социальном обслуживании;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подобрать гражданину оптимальную форму социального обслуживания;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сформировать проекты индивидуальной программы и дополнения к индивидуальной программе;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в) задачи: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распределение между экспертами по оценке нуждаемости обязанностей: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 итоговому заполнению анкеты-опросника;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 переносу сведений, содержащихся в анкете-опроснике, в ведомственную информационную систему;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 подготовке проекта решения о признании гражданина нуждающимся в социальном обслуживании, в том числе в социальных услугах по уходу, проектов индивидуальной программы и дополнения к индивидуальной программе, проекта решения об отказе гражданину в социальном обслуживании;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 подготовке копии анкеты-опросника для поставщика социальных услуг;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 формированию личного дела гражданина;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обсуждение и внесение согласованных сведений в анкету-опросник: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lastRenderedPageBreak/>
        <w:t>заключения об индивидуальной потребности гражданина в социальном обслуживании, в том числе в социальных услугах по уходу;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заключения об уровне нуждаемости гражданина в уходе;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заключения о форме социального обслуживания;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перечня социальных услуг по уходу, включаемых в социальный пакет долговременного ухода;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условий предоставления социальных услуг по уходу, включаемых в социальный пакет долговременного ухода;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перечня иных социальных услуг;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итоговое заполнение анкеты-опросника;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15B0C">
        <w:rPr>
          <w:rFonts w:ascii="Times New Roman" w:hAnsi="Times New Roman" w:cs="Times New Roman"/>
          <w:spacing w:val="-6"/>
          <w:sz w:val="28"/>
          <w:szCs w:val="28"/>
        </w:rPr>
        <w:t>разработка на основании анкеты-опросника проекта решения о признании гражданина нуждающимся в социальном обслуживании, в том числе в социальных услугах по уходу, либо об отказе гражданину в социальном обслуживании;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формирование перечня и объема социальных услуг по уходу, включаемых в социальный пакет долговременного ухода, на основании рекомендуемого гражданину перечня социальных услуг по уходу, внесенных в бланк «Блок Г» анкеты-опросника;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разработка проектов индивидуальной программы и дополнения к индивидуальной программе на основании рекомендуемого гражданину перечня социальных услуг, внесенных в бланк «Блок Г» анкеты-опросника;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г) срок исполнения: не более четырех рабочих дней со дня поступления первичной информации о потенциальном получателе социальных услуг;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д) ожидаемый результат: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подготовлен проект решения о признании гражданина нуждающимся в социальном обслуживании, в том числе в социальных услугах по уходу;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подготовлен проект индивидуальной программы;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подготовлен проект дополнения к индивидуальной программе;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подготовлен проект решения об отказе гражданину в социальных услугах по уходу в случае, если гражданину не установлен уровень нуждаемости в уходе и он отказался от социального обслуживания;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 xml:space="preserve">представление подготовленных проектов решений в </w:t>
      </w:r>
      <w:r w:rsidRPr="00D15B0C">
        <w:rPr>
          <w:rStyle w:val="afd"/>
          <w:rFonts w:ascii="Times New Roman" w:hAnsi="Times New Roman" w:cs="Times New Roman"/>
          <w:b w:val="0"/>
          <w:bCs/>
          <w:color w:val="auto"/>
          <w:sz w:val="28"/>
          <w:szCs w:val="28"/>
        </w:rPr>
        <w:t>орган местного самоуправления муниципального образования Новосибирской области, наделенный полномочиями по обеспечению социального обслуживания отдельных категорий граждан, в том числе на признание граждан нуждающимися в социальном обслуживании и разработку индивидуальных программ предоставления социальных услуг (далее – </w:t>
      </w:r>
      <w:r w:rsidRPr="00D15B0C">
        <w:rPr>
          <w:rFonts w:ascii="Times New Roman" w:hAnsi="Times New Roman" w:cs="Times New Roman"/>
          <w:sz w:val="28"/>
          <w:szCs w:val="28"/>
        </w:rPr>
        <w:t>уполномоченный ОМС).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6. После принятия уполномоченным ОМС решения о признании гражданина нуждающимся в социальном обслуживании, в том числе в социальных услугах по уходу (решения об отказе гражданину в социальном обслуживании), и надлежащего его оформления уполномоченным ОМС эксперт по оценке нуждаемости (в срок не более пяти рабочих дней со дня поступления первичной информации о потенциальном получателе социальных услуг):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1) информирует гражданина (законного представителя) о принятом решении и передает ему оригиналы индивидуальной программы и дополнения к индивидуальной программе;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lastRenderedPageBreak/>
        <w:t>2) информирует поставщика социальных услуг о новом получателе социальных услуг и передает ему копию анкеты-опросника, копии индивидуальной программы и дополнения к индивидуальной программе;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3) вносит в ведомственную информационную систему сведения, сформированные при определении индивидуальной потребности гражданина в социальном обслуживании, в том числе в социальных услугах по уходу.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7. При сборе сведений о гражданине и проведении оценки экспертами по оценке нуждаемости соблюдаются следующие правила: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1) вести непринужденный диалог, не говорить одновременно, не отвлекаться от цели визита;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2) не вызывать у гражданина и его ближайшего окружения (из числа присутствующих) излишнего эмоционального напряжения, при получении ответов на вопросы соблюдать принцип добровольности;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3) не использовать недопустимые способы и методы получения информации, внимательно выслушивать мнение гражданина и его ближайшего окружения (из числа присутствующих);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4) задавать гражданину закрытые (предполагают короткий ответ «да» либо «нет») и открытые (предполагают развернутый ответ) вопросы, уточнять и конкретизировать детали ответов (последовательность вопросов из анкеты-опросника может быть различной);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5) не додумывать и не досказывать ответы за гражданина и его ближайшее окружение (из числа присутствующих);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6) уточнять у гражданина сведения, содержащиеся в его документах (при необходимости);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7) просить ближайшее окружение (из числа присутствующих) подтверждать, опровергать или дополнять ответы гражданина;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8) просить гражданина (при его согласии) продемонстрировать навыки самообслуживания, если их выполнение не представляет опасности для его жизни и здоровья;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9) вносить в анкету-опросник сведения с учетом всей информации, полученной от гражданина и его ближайшего окружения;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10) обеспечивать объективность и достоверность результатов своей деятельности;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11) помнить, что анкета-опросник является документом, в котором содержатся персональные данные гражданина, распространение которых влечет ответственность, предусмотренную законодательством Российской Федерации, а сведения, внесенные в анкету-опросник, являются в том числе основанием для проведения проверок и судебных разбирательств.</w:t>
      </w:r>
    </w:p>
    <w:p w:rsidR="00D164EF" w:rsidRPr="00D15B0C" w:rsidRDefault="00707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8. При подготовке к повторному (очередному) определению индивидуальной потребности гражданина в социальном обслуживании, том числе в социальных услугах по уходу, используются анкеты-опросники, заполненные в предыдущие периоды, хранящиеся в территориальном координационном центре в соответствии с законодательством Российской Федерации.</w:t>
      </w:r>
    </w:p>
    <w:p w:rsidR="00D164EF" w:rsidRPr="00D15B0C" w:rsidRDefault="00D16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4EF" w:rsidRPr="00D15B0C" w:rsidRDefault="00707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5B0C">
        <w:rPr>
          <w:rFonts w:ascii="Times New Roman" w:hAnsi="Times New Roman" w:cs="Times New Roman"/>
          <w:sz w:val="28"/>
          <w:szCs w:val="28"/>
        </w:rPr>
        <w:t>_________</w:t>
      </w:r>
      <w:bookmarkStart w:id="0" w:name="_GoBack"/>
      <w:bookmarkEnd w:id="0"/>
    </w:p>
    <w:sectPr w:rsidR="00D164EF" w:rsidRPr="00D15B0C">
      <w:headerReference w:type="default" r:id="rId8"/>
      <w:pgSz w:w="11905" w:h="16837"/>
      <w:pgMar w:top="1134" w:right="567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3C5" w:rsidRDefault="008103C5">
      <w:pPr>
        <w:spacing w:after="0" w:line="240" w:lineRule="auto"/>
      </w:pPr>
      <w:r>
        <w:separator/>
      </w:r>
    </w:p>
  </w:endnote>
  <w:endnote w:type="continuationSeparator" w:id="0">
    <w:p w:rsidR="008103C5" w:rsidRDefault="0081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3C5" w:rsidRDefault="008103C5">
      <w:pPr>
        <w:spacing w:after="0" w:line="240" w:lineRule="auto"/>
      </w:pPr>
      <w:r>
        <w:separator/>
      </w:r>
    </w:p>
  </w:footnote>
  <w:footnote w:type="continuationSeparator" w:id="0">
    <w:p w:rsidR="008103C5" w:rsidRDefault="00810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9147475"/>
      <w:docPartObj>
        <w:docPartGallery w:val="Page Numbers (Top of Page)"/>
        <w:docPartUnique/>
      </w:docPartObj>
    </w:sdtPr>
    <w:sdtEndPr/>
    <w:sdtContent>
      <w:p w:rsidR="00D164EF" w:rsidRDefault="00707770">
        <w:pPr>
          <w:pStyle w:val="af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15B0C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A5203"/>
    <w:multiLevelType w:val="multilevel"/>
    <w:tmpl w:val="3664E7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B610374"/>
    <w:multiLevelType w:val="hybridMultilevel"/>
    <w:tmpl w:val="5FD4E386"/>
    <w:lvl w:ilvl="0" w:tplc="1D4A237A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4B6CC86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357AEC7C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EBA6005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5F1AF83C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A6A8F08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31DE835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D894649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7A546E3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BF713BA"/>
    <w:multiLevelType w:val="hybridMultilevel"/>
    <w:tmpl w:val="0D8C0690"/>
    <w:lvl w:ilvl="0" w:tplc="175451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E9C47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41A18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05CD9E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55437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95648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A48E7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9B2E0D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6D670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A9397C"/>
    <w:multiLevelType w:val="hybridMultilevel"/>
    <w:tmpl w:val="071E4A76"/>
    <w:lvl w:ilvl="0" w:tplc="0F28E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AD0612C">
      <w:start w:val="1"/>
      <w:numFmt w:val="lowerLetter"/>
      <w:lvlText w:val="%2."/>
      <w:lvlJc w:val="left"/>
      <w:pPr>
        <w:ind w:left="1789" w:hanging="360"/>
      </w:pPr>
    </w:lvl>
    <w:lvl w:ilvl="2" w:tplc="2ADE12CA">
      <w:start w:val="1"/>
      <w:numFmt w:val="lowerRoman"/>
      <w:lvlText w:val="%3."/>
      <w:lvlJc w:val="right"/>
      <w:pPr>
        <w:ind w:left="2509" w:hanging="180"/>
      </w:pPr>
    </w:lvl>
    <w:lvl w:ilvl="3" w:tplc="2844240C">
      <w:start w:val="1"/>
      <w:numFmt w:val="decimal"/>
      <w:lvlText w:val="%4."/>
      <w:lvlJc w:val="left"/>
      <w:pPr>
        <w:ind w:left="3229" w:hanging="360"/>
      </w:pPr>
    </w:lvl>
    <w:lvl w:ilvl="4" w:tplc="22A8F152">
      <w:start w:val="1"/>
      <w:numFmt w:val="lowerLetter"/>
      <w:lvlText w:val="%5."/>
      <w:lvlJc w:val="left"/>
      <w:pPr>
        <w:ind w:left="3949" w:hanging="360"/>
      </w:pPr>
    </w:lvl>
    <w:lvl w:ilvl="5" w:tplc="95D69970">
      <w:start w:val="1"/>
      <w:numFmt w:val="lowerRoman"/>
      <w:lvlText w:val="%6."/>
      <w:lvlJc w:val="right"/>
      <w:pPr>
        <w:ind w:left="4669" w:hanging="180"/>
      </w:pPr>
    </w:lvl>
    <w:lvl w:ilvl="6" w:tplc="DA92D580">
      <w:start w:val="1"/>
      <w:numFmt w:val="decimal"/>
      <w:lvlText w:val="%7."/>
      <w:lvlJc w:val="left"/>
      <w:pPr>
        <w:ind w:left="5389" w:hanging="360"/>
      </w:pPr>
    </w:lvl>
    <w:lvl w:ilvl="7" w:tplc="1722E69A">
      <w:start w:val="1"/>
      <w:numFmt w:val="lowerLetter"/>
      <w:lvlText w:val="%8."/>
      <w:lvlJc w:val="left"/>
      <w:pPr>
        <w:ind w:left="6109" w:hanging="360"/>
      </w:pPr>
    </w:lvl>
    <w:lvl w:ilvl="8" w:tplc="4B209006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3D010A7"/>
    <w:multiLevelType w:val="hybridMultilevel"/>
    <w:tmpl w:val="33361368"/>
    <w:lvl w:ilvl="0" w:tplc="C16A8DC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EE54A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D0EE60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F4CD92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70D4F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8369E7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7D6868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90F0A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8D62FE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B21C30"/>
    <w:multiLevelType w:val="hybridMultilevel"/>
    <w:tmpl w:val="4DA05074"/>
    <w:lvl w:ilvl="0" w:tplc="009EE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00AAE0C">
      <w:start w:val="1"/>
      <w:numFmt w:val="lowerLetter"/>
      <w:lvlText w:val="%2."/>
      <w:lvlJc w:val="left"/>
      <w:pPr>
        <w:ind w:left="1440" w:hanging="360"/>
      </w:pPr>
    </w:lvl>
    <w:lvl w:ilvl="2" w:tplc="A93AAD18">
      <w:start w:val="1"/>
      <w:numFmt w:val="lowerRoman"/>
      <w:lvlText w:val="%3."/>
      <w:lvlJc w:val="right"/>
      <w:pPr>
        <w:ind w:left="2160" w:hanging="180"/>
      </w:pPr>
    </w:lvl>
    <w:lvl w:ilvl="3" w:tplc="F7AE93A6">
      <w:start w:val="1"/>
      <w:numFmt w:val="decimal"/>
      <w:lvlText w:val="%4."/>
      <w:lvlJc w:val="left"/>
      <w:pPr>
        <w:ind w:left="2880" w:hanging="360"/>
      </w:pPr>
    </w:lvl>
    <w:lvl w:ilvl="4" w:tplc="AE72DB90">
      <w:start w:val="1"/>
      <w:numFmt w:val="lowerLetter"/>
      <w:lvlText w:val="%5."/>
      <w:lvlJc w:val="left"/>
      <w:pPr>
        <w:ind w:left="3600" w:hanging="360"/>
      </w:pPr>
    </w:lvl>
    <w:lvl w:ilvl="5" w:tplc="CD980094">
      <w:start w:val="1"/>
      <w:numFmt w:val="lowerRoman"/>
      <w:lvlText w:val="%6."/>
      <w:lvlJc w:val="right"/>
      <w:pPr>
        <w:ind w:left="4320" w:hanging="180"/>
      </w:pPr>
    </w:lvl>
    <w:lvl w:ilvl="6" w:tplc="AEC8C3C4">
      <w:start w:val="1"/>
      <w:numFmt w:val="decimal"/>
      <w:lvlText w:val="%7."/>
      <w:lvlJc w:val="left"/>
      <w:pPr>
        <w:ind w:left="5040" w:hanging="360"/>
      </w:pPr>
    </w:lvl>
    <w:lvl w:ilvl="7" w:tplc="A84047C4">
      <w:start w:val="1"/>
      <w:numFmt w:val="lowerLetter"/>
      <w:lvlText w:val="%8."/>
      <w:lvlJc w:val="left"/>
      <w:pPr>
        <w:ind w:left="5760" w:hanging="360"/>
      </w:pPr>
    </w:lvl>
    <w:lvl w:ilvl="8" w:tplc="B4D60C7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F3582"/>
    <w:multiLevelType w:val="hybridMultilevel"/>
    <w:tmpl w:val="FC9C9800"/>
    <w:lvl w:ilvl="0" w:tplc="E5822E7A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A785DC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FEBCE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5C6E5B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9DC7DF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6CA6DF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BC4677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9C05D8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736187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B96A8E"/>
    <w:multiLevelType w:val="hybridMultilevel"/>
    <w:tmpl w:val="49FA5AB6"/>
    <w:lvl w:ilvl="0" w:tplc="5FF6CB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BCC0538">
      <w:start w:val="1"/>
      <w:numFmt w:val="lowerLetter"/>
      <w:lvlText w:val="%2."/>
      <w:lvlJc w:val="left"/>
      <w:pPr>
        <w:ind w:left="1440" w:hanging="360"/>
      </w:pPr>
    </w:lvl>
    <w:lvl w:ilvl="2" w:tplc="87648144">
      <w:start w:val="1"/>
      <w:numFmt w:val="lowerRoman"/>
      <w:lvlText w:val="%3."/>
      <w:lvlJc w:val="right"/>
      <w:pPr>
        <w:ind w:left="2160" w:hanging="180"/>
      </w:pPr>
    </w:lvl>
    <w:lvl w:ilvl="3" w:tplc="B3289BF0">
      <w:start w:val="1"/>
      <w:numFmt w:val="decimal"/>
      <w:lvlText w:val="%4."/>
      <w:lvlJc w:val="left"/>
      <w:pPr>
        <w:ind w:left="2880" w:hanging="360"/>
      </w:pPr>
    </w:lvl>
    <w:lvl w:ilvl="4" w:tplc="EC4CC8B2">
      <w:start w:val="1"/>
      <w:numFmt w:val="lowerLetter"/>
      <w:lvlText w:val="%5."/>
      <w:lvlJc w:val="left"/>
      <w:pPr>
        <w:ind w:left="3600" w:hanging="360"/>
      </w:pPr>
    </w:lvl>
    <w:lvl w:ilvl="5" w:tplc="C89E0050">
      <w:start w:val="1"/>
      <w:numFmt w:val="lowerRoman"/>
      <w:lvlText w:val="%6."/>
      <w:lvlJc w:val="right"/>
      <w:pPr>
        <w:ind w:left="4320" w:hanging="180"/>
      </w:pPr>
    </w:lvl>
    <w:lvl w:ilvl="6" w:tplc="48A8BEB6">
      <w:start w:val="1"/>
      <w:numFmt w:val="decimal"/>
      <w:lvlText w:val="%7."/>
      <w:lvlJc w:val="left"/>
      <w:pPr>
        <w:ind w:left="5040" w:hanging="360"/>
      </w:pPr>
    </w:lvl>
    <w:lvl w:ilvl="7" w:tplc="CE1EEFEA">
      <w:start w:val="1"/>
      <w:numFmt w:val="lowerLetter"/>
      <w:lvlText w:val="%8."/>
      <w:lvlJc w:val="left"/>
      <w:pPr>
        <w:ind w:left="5760" w:hanging="360"/>
      </w:pPr>
    </w:lvl>
    <w:lvl w:ilvl="8" w:tplc="A40E2C5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94F0B"/>
    <w:multiLevelType w:val="hybridMultilevel"/>
    <w:tmpl w:val="20A49FF0"/>
    <w:lvl w:ilvl="0" w:tplc="2AD6B0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B0F8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36DC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5F2D8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46AC80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0FE49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F2D89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82236E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0B667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6F6E3A"/>
    <w:multiLevelType w:val="hybridMultilevel"/>
    <w:tmpl w:val="D902D8E6"/>
    <w:lvl w:ilvl="0" w:tplc="884AEC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863C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6A43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DEA1DD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8A859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AE03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1587DE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440B8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A9AA5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1B2CFC"/>
    <w:multiLevelType w:val="hybridMultilevel"/>
    <w:tmpl w:val="E81C16E6"/>
    <w:lvl w:ilvl="0" w:tplc="F7CE5D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AD4ACDC">
      <w:start w:val="1"/>
      <w:numFmt w:val="lowerLetter"/>
      <w:lvlText w:val="%2."/>
      <w:lvlJc w:val="left"/>
      <w:pPr>
        <w:ind w:left="1789" w:hanging="360"/>
      </w:pPr>
    </w:lvl>
    <w:lvl w:ilvl="2" w:tplc="25BE5646">
      <w:start w:val="1"/>
      <w:numFmt w:val="lowerRoman"/>
      <w:lvlText w:val="%3."/>
      <w:lvlJc w:val="right"/>
      <w:pPr>
        <w:ind w:left="2509" w:hanging="180"/>
      </w:pPr>
    </w:lvl>
    <w:lvl w:ilvl="3" w:tplc="40C4284C">
      <w:start w:val="1"/>
      <w:numFmt w:val="decimal"/>
      <w:lvlText w:val="%4."/>
      <w:lvlJc w:val="left"/>
      <w:pPr>
        <w:ind w:left="3229" w:hanging="360"/>
      </w:pPr>
    </w:lvl>
    <w:lvl w:ilvl="4" w:tplc="6AB2929E">
      <w:start w:val="1"/>
      <w:numFmt w:val="lowerLetter"/>
      <w:lvlText w:val="%5."/>
      <w:lvlJc w:val="left"/>
      <w:pPr>
        <w:ind w:left="3949" w:hanging="360"/>
      </w:pPr>
    </w:lvl>
    <w:lvl w:ilvl="5" w:tplc="53C40E74">
      <w:start w:val="1"/>
      <w:numFmt w:val="lowerRoman"/>
      <w:lvlText w:val="%6."/>
      <w:lvlJc w:val="right"/>
      <w:pPr>
        <w:ind w:left="4669" w:hanging="180"/>
      </w:pPr>
    </w:lvl>
    <w:lvl w:ilvl="6" w:tplc="C05AF840">
      <w:start w:val="1"/>
      <w:numFmt w:val="decimal"/>
      <w:lvlText w:val="%7."/>
      <w:lvlJc w:val="left"/>
      <w:pPr>
        <w:ind w:left="5389" w:hanging="360"/>
      </w:pPr>
    </w:lvl>
    <w:lvl w:ilvl="7" w:tplc="4584652C">
      <w:start w:val="1"/>
      <w:numFmt w:val="lowerLetter"/>
      <w:lvlText w:val="%8."/>
      <w:lvlJc w:val="left"/>
      <w:pPr>
        <w:ind w:left="6109" w:hanging="360"/>
      </w:pPr>
    </w:lvl>
    <w:lvl w:ilvl="8" w:tplc="B0E864CC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C193112"/>
    <w:multiLevelType w:val="hybridMultilevel"/>
    <w:tmpl w:val="89D4FAE6"/>
    <w:lvl w:ilvl="0" w:tplc="D6700198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7D8E4506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7A22E64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86C6E8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5B762A7A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D9344BD4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5EEE5AC4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86E0C482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E6643B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AAB16CD"/>
    <w:multiLevelType w:val="multilevel"/>
    <w:tmpl w:val="1BD04D0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3" w15:restartNumberingAfterBreak="0">
    <w:nsid w:val="6C8A378B"/>
    <w:multiLevelType w:val="hybridMultilevel"/>
    <w:tmpl w:val="0F80FF4E"/>
    <w:lvl w:ilvl="0" w:tplc="F70898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EACD0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8A0A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584EE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48873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DE028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86C0D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3E0F9E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EFEED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12"/>
  </w:num>
  <w:num w:numId="6">
    <w:abstractNumId w:val="2"/>
  </w:num>
  <w:num w:numId="7">
    <w:abstractNumId w:val="9"/>
  </w:num>
  <w:num w:numId="8">
    <w:abstractNumId w:val="13"/>
  </w:num>
  <w:num w:numId="9">
    <w:abstractNumId w:val="8"/>
  </w:num>
  <w:num w:numId="10">
    <w:abstractNumId w:val="5"/>
  </w:num>
  <w:num w:numId="11">
    <w:abstractNumId w:val="7"/>
  </w:num>
  <w:num w:numId="12">
    <w:abstractNumId w:val="6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EF"/>
    <w:rsid w:val="00345ECF"/>
    <w:rsid w:val="00707770"/>
    <w:rsid w:val="008103C5"/>
    <w:rsid w:val="00A25A30"/>
    <w:rsid w:val="00D15B0C"/>
    <w:rsid w:val="00D1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E0810-96C9-449D-B543-602B1820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b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c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pPr>
      <w:widowControl w:val="0"/>
      <w:spacing w:after="0" w:line="240" w:lineRule="auto"/>
      <w:ind w:firstLine="720"/>
      <w:jc w:val="both"/>
    </w:pPr>
    <w:rPr>
      <w:rFonts w:ascii="Times New Roman CYR" w:eastAsia="SimSun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Цветовое выделение"/>
    <w:rPr>
      <w:b/>
      <w:bCs w:val="0"/>
      <w:color w:val="26282F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EEA25-4669-44FB-8434-D7F72B7F1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40</cp:revision>
  <dcterms:created xsi:type="dcterms:W3CDTF">2023-02-10T07:43:00Z</dcterms:created>
  <dcterms:modified xsi:type="dcterms:W3CDTF">2025-04-09T09:54:00Z</dcterms:modified>
</cp:coreProperties>
</file>